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Grębocice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2373166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02DBB">
        <w:rPr>
          <w:sz w:val="24"/>
          <w:szCs w:val="24"/>
        </w:rPr>
        <w:t>24.04.2025</w:t>
      </w:r>
      <w:r w:rsidR="00F375F9">
        <w:rPr>
          <w:sz w:val="24"/>
          <w:szCs w:val="24"/>
        </w:rPr>
        <w:t xml:space="preserve">r. do godz. </w:t>
      </w:r>
      <w:r w:rsidR="00102DBB">
        <w:rPr>
          <w:sz w:val="24"/>
          <w:szCs w:val="24"/>
        </w:rPr>
        <w:t>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Grębocice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C9F38A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34D04E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CC11E2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50B4DF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02DBB">
        <w:t>24.04.2025</w:t>
      </w:r>
      <w:r w:rsidR="00F375F9">
        <w:t xml:space="preserve"> r. o godz. </w:t>
      </w:r>
      <w:r w:rsidR="00102DBB">
        <w:t>10.00</w:t>
      </w:r>
      <w:r w:rsidRPr="00F01437">
        <w:t xml:space="preserve"> w siedzibie </w:t>
      </w:r>
      <w:r w:rsidR="00652D1E" w:rsidRPr="00F01437">
        <w:rPr>
          <w:b/>
        </w:rPr>
        <w:t>Urzędu Gminy Grębocice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F7A4191" w:rsidR="00B50FD4" w:rsidRPr="00F01437" w:rsidRDefault="003058D1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02DBB"/>
    <w:rsid w:val="00135A49"/>
    <w:rsid w:val="0014128F"/>
    <w:rsid w:val="00162AD5"/>
    <w:rsid w:val="001F3F2F"/>
    <w:rsid w:val="002003AC"/>
    <w:rsid w:val="002B0DFC"/>
    <w:rsid w:val="002E6E1D"/>
    <w:rsid w:val="002F1ACB"/>
    <w:rsid w:val="003058D1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20B57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Zych</cp:lastModifiedBy>
  <cp:revision>4</cp:revision>
  <dcterms:created xsi:type="dcterms:W3CDTF">2025-04-22T10:50:00Z</dcterms:created>
  <dcterms:modified xsi:type="dcterms:W3CDTF">2025-04-22T10:53:00Z</dcterms:modified>
  <dc:identifier/>
  <dc:language/>
</cp:coreProperties>
</file>